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7" w:rsidRDefault="00AE52B7" w:rsidP="00F826F1">
      <w:pPr>
        <w:rPr>
          <w:bCs/>
        </w:rPr>
      </w:pPr>
      <w:r>
        <w:rPr>
          <w:bCs/>
        </w:rPr>
        <w:t xml:space="preserve">Name: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Date:</w:t>
      </w:r>
      <w:r>
        <w:rPr>
          <w:bCs/>
        </w:rPr>
        <w:tab/>
        <w:t xml:space="preserve">  </w:t>
      </w:r>
      <w:r>
        <w:rPr>
          <w:bCs/>
        </w:rPr>
        <w:tab/>
        <w:t>Block:</w:t>
      </w:r>
      <w:r>
        <w:rPr>
          <w:bCs/>
        </w:rPr>
        <w:tab/>
      </w:r>
      <w:r>
        <w:rPr>
          <w:bCs/>
        </w:rPr>
        <w:tab/>
        <w:t>Teacher: Bowman</w:t>
      </w:r>
    </w:p>
    <w:p w:rsidR="00937B36" w:rsidRDefault="00937B36" w:rsidP="00F826F1">
      <w:pPr>
        <w:rPr>
          <w:b/>
          <w:bCs/>
          <w:sz w:val="28"/>
          <w:szCs w:val="28"/>
        </w:rPr>
      </w:pPr>
      <w:r w:rsidRPr="009B3FC4">
        <w:rPr>
          <w:b/>
          <w:bCs/>
          <w:sz w:val="28"/>
          <w:szCs w:val="28"/>
        </w:rPr>
        <w:t>Socratic Seminar: THE SNEETCHES</w:t>
      </w:r>
    </w:p>
    <w:tbl>
      <w:tblPr>
        <w:tblStyle w:val="TableGrid"/>
        <w:tblW w:w="0" w:type="auto"/>
        <w:tblLook w:val="04A0"/>
      </w:tblPr>
      <w:tblGrid>
        <w:gridCol w:w="1368"/>
        <w:gridCol w:w="2736"/>
        <w:gridCol w:w="2736"/>
        <w:gridCol w:w="2736"/>
      </w:tblGrid>
      <w:tr w:rsidR="00003D3F" w:rsidRPr="00003D3F" w:rsidTr="00882BFA">
        <w:tc>
          <w:tcPr>
            <w:tcW w:w="9576" w:type="dxa"/>
            <w:gridSpan w:val="4"/>
            <w:shd w:val="clear" w:color="auto" w:fill="000000" w:themeFill="text1"/>
            <w:vAlign w:val="center"/>
          </w:tcPr>
          <w:p w:rsidR="00003D3F" w:rsidRPr="00003D3F" w:rsidRDefault="00003D3F" w:rsidP="00882B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D3F">
              <w:rPr>
                <w:rFonts w:ascii="Arial Narrow" w:hAnsi="Arial Narrow"/>
                <w:b/>
                <w:sz w:val="20"/>
                <w:szCs w:val="20"/>
              </w:rPr>
              <w:t>Socratic Seminar Questions – Rubric</w:t>
            </w:r>
          </w:p>
          <w:p w:rsidR="00003D3F" w:rsidRPr="00003D3F" w:rsidRDefault="00003D3F" w:rsidP="00882B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3D3F" w:rsidRPr="00003D3F" w:rsidTr="00882BFA">
        <w:tc>
          <w:tcPr>
            <w:tcW w:w="1368" w:type="dxa"/>
            <w:shd w:val="clear" w:color="auto" w:fill="BFBFBF" w:themeFill="background1" w:themeFillShade="BF"/>
          </w:tcPr>
          <w:p w:rsidR="00003D3F" w:rsidRPr="00003D3F" w:rsidRDefault="00003D3F" w:rsidP="00882BF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03D3F">
              <w:rPr>
                <w:rFonts w:ascii="Arial Narrow" w:hAnsi="Arial Narrow"/>
                <w:b/>
                <w:sz w:val="16"/>
                <w:szCs w:val="16"/>
              </w:rPr>
              <w:t>Categories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003D3F" w:rsidRPr="00003D3F" w:rsidRDefault="00003D3F" w:rsidP="00882B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03D3F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003D3F" w:rsidRPr="00003D3F" w:rsidRDefault="00003D3F" w:rsidP="00882B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03D3F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003D3F" w:rsidRPr="00003D3F" w:rsidRDefault="00003D3F" w:rsidP="00882B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03D3F">
              <w:rPr>
                <w:rFonts w:ascii="Arial Narrow" w:hAnsi="Arial Narrow"/>
                <w:b/>
                <w:sz w:val="16"/>
                <w:szCs w:val="16"/>
              </w:rPr>
              <w:t>Needs Improvement</w:t>
            </w:r>
          </w:p>
        </w:tc>
      </w:tr>
      <w:tr w:rsidR="00003D3F" w:rsidRPr="00003D3F" w:rsidTr="00882BFA">
        <w:tc>
          <w:tcPr>
            <w:tcW w:w="1368" w:type="dxa"/>
            <w:shd w:val="clear" w:color="auto" w:fill="BFBFBF" w:themeFill="background1" w:themeFillShade="BF"/>
          </w:tcPr>
          <w:p w:rsidR="00003D3F" w:rsidRPr="00003D3F" w:rsidRDefault="00003D3F" w:rsidP="00882B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b/>
                <w:sz w:val="16"/>
                <w:szCs w:val="16"/>
              </w:rPr>
              <w:t>Analysis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Employs superior depth of thinking/deep analysis on all questions</w:t>
            </w:r>
          </w:p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Demonstrates deep analysis on the WHY &amp; HOW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Employs some depth of thinking/mostly surface level analysis</w:t>
            </w:r>
          </w:p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Demonstrates some analysis on the WHY &amp; HOW</w:t>
            </w:r>
          </w:p>
          <w:p w:rsidR="00003D3F" w:rsidRPr="00003D3F" w:rsidRDefault="00003D3F" w:rsidP="00882BFA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Employs a lack of depth and/or very little analysis</w:t>
            </w:r>
          </w:p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Demonstrates little to no analysis on the WHY &amp; HOW</w:t>
            </w:r>
          </w:p>
          <w:p w:rsidR="00003D3F" w:rsidRPr="00003D3F" w:rsidRDefault="00003D3F" w:rsidP="00882BFA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3D3F" w:rsidRPr="00003D3F" w:rsidTr="00882BFA">
        <w:tc>
          <w:tcPr>
            <w:tcW w:w="1368" w:type="dxa"/>
            <w:shd w:val="clear" w:color="auto" w:fill="BFBFBF" w:themeFill="background1" w:themeFillShade="BF"/>
          </w:tcPr>
          <w:p w:rsidR="00003D3F" w:rsidRPr="00003D3F" w:rsidRDefault="00003D3F" w:rsidP="00882B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b/>
                <w:sz w:val="16"/>
                <w:szCs w:val="16"/>
              </w:rPr>
              <w:t>Work Ethic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 xml:space="preserve">Shows exemplary work ethic </w:t>
            </w:r>
          </w:p>
          <w:p w:rsidR="00003D3F" w:rsidRPr="00003D3F" w:rsidRDefault="00003D3F" w:rsidP="00882BFA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 xml:space="preserve">Shows mediocre work ethic </w:t>
            </w:r>
          </w:p>
          <w:p w:rsidR="00003D3F" w:rsidRPr="00003D3F" w:rsidRDefault="00003D3F" w:rsidP="00882BFA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Work ethic needs to improve and/or many questions are lacking analysis</w:t>
            </w:r>
          </w:p>
        </w:tc>
        <w:bookmarkStart w:id="0" w:name="_GoBack"/>
        <w:bookmarkEnd w:id="0"/>
      </w:tr>
      <w:tr w:rsidR="00003D3F" w:rsidRPr="00003D3F" w:rsidTr="00882BFA">
        <w:tc>
          <w:tcPr>
            <w:tcW w:w="1368" w:type="dxa"/>
            <w:shd w:val="clear" w:color="auto" w:fill="BFBFBF" w:themeFill="background1" w:themeFillShade="BF"/>
          </w:tcPr>
          <w:p w:rsidR="00003D3F" w:rsidRPr="00003D3F" w:rsidRDefault="00003D3F" w:rsidP="00882B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b/>
                <w:sz w:val="16"/>
                <w:szCs w:val="16"/>
              </w:rPr>
              <w:t>Questions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All student created questions and answers reflect analytical thinking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Most student created questions and answers reflect analytical thinking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Little to no student created questions and answers reflect analytical thinking</w:t>
            </w:r>
          </w:p>
        </w:tc>
      </w:tr>
      <w:tr w:rsidR="00003D3F" w:rsidRPr="00003D3F" w:rsidTr="00882BFA">
        <w:tc>
          <w:tcPr>
            <w:tcW w:w="1368" w:type="dxa"/>
            <w:shd w:val="clear" w:color="auto" w:fill="BFBFBF" w:themeFill="background1" w:themeFillShade="BF"/>
          </w:tcPr>
          <w:p w:rsidR="00003D3F" w:rsidRPr="00003D3F" w:rsidRDefault="00003D3F" w:rsidP="00882B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b/>
                <w:sz w:val="16"/>
                <w:szCs w:val="16"/>
              </w:rPr>
              <w:t>Sources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All primary and secondary sources cited in MLA format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Some primary and secondary sources cited in MLA format</w:t>
            </w:r>
          </w:p>
        </w:tc>
        <w:tc>
          <w:tcPr>
            <w:tcW w:w="2736" w:type="dxa"/>
          </w:tcPr>
          <w:p w:rsidR="00003D3F" w:rsidRPr="00003D3F" w:rsidRDefault="00003D3F" w:rsidP="00003D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03D3F">
              <w:rPr>
                <w:rFonts w:ascii="Arial Narrow" w:hAnsi="Arial Narrow" w:cs="Arial"/>
                <w:sz w:val="16"/>
                <w:szCs w:val="16"/>
              </w:rPr>
              <w:t>Little to no primary and secondary sources cited in MLA format</w:t>
            </w:r>
          </w:p>
        </w:tc>
      </w:tr>
    </w:tbl>
    <w:p w:rsidR="00003D3F" w:rsidRPr="009B3FC4" w:rsidRDefault="00003D3F" w:rsidP="00F826F1">
      <w:pPr>
        <w:rPr>
          <w:b/>
          <w:bCs/>
          <w:sz w:val="28"/>
          <w:szCs w:val="28"/>
        </w:rPr>
      </w:pPr>
    </w:p>
    <w:p w:rsidR="00F826F1" w:rsidRPr="00F826F1" w:rsidRDefault="00F826F1" w:rsidP="00F826F1">
      <w:r w:rsidRPr="00F826F1">
        <w:rPr>
          <w:b/>
          <w:bCs/>
        </w:rPr>
        <w:t>What is Tolerance?</w:t>
      </w:r>
    </w:p>
    <w:p w:rsidR="00F826F1" w:rsidRDefault="00C636A8" w:rsidP="00F826F1">
      <w:r>
        <w:t>Prepare for</w:t>
      </w:r>
      <w:r w:rsidR="00F826F1" w:rsidRPr="00F826F1">
        <w:t xml:space="preserve"> a debate or discussion in which students are encouraged to talk about individual and cultural differences as well as differences in moral values in a rational, non-threatening way, keeping in mind the value of tolerance. </w:t>
      </w:r>
    </w:p>
    <w:p w:rsidR="00306465" w:rsidRDefault="00306465" w:rsidP="00F826F1">
      <w:r>
        <w:t>Please thoroughly analyze the following questions based on your letter:</w:t>
      </w:r>
    </w:p>
    <w:tbl>
      <w:tblPr>
        <w:tblStyle w:val="TableGrid"/>
        <w:tblW w:w="0" w:type="auto"/>
        <w:tblLook w:val="04A0"/>
      </w:tblPr>
      <w:tblGrid>
        <w:gridCol w:w="3059"/>
        <w:gridCol w:w="3059"/>
      </w:tblGrid>
      <w:tr w:rsidR="00306465" w:rsidTr="00306465">
        <w:trPr>
          <w:trHeight w:val="295"/>
        </w:trPr>
        <w:tc>
          <w:tcPr>
            <w:tcW w:w="3059" w:type="dxa"/>
            <w:shd w:val="clear" w:color="auto" w:fill="BFBFBF" w:themeFill="background1" w:themeFillShade="BF"/>
            <w:vAlign w:val="center"/>
          </w:tcPr>
          <w:p w:rsidR="00306465" w:rsidRDefault="00306465" w:rsidP="00306465">
            <w:pPr>
              <w:jc w:val="center"/>
            </w:pPr>
            <w:r>
              <w:t>Letter</w:t>
            </w:r>
          </w:p>
        </w:tc>
        <w:tc>
          <w:tcPr>
            <w:tcW w:w="3059" w:type="dxa"/>
            <w:shd w:val="clear" w:color="auto" w:fill="BFBFBF" w:themeFill="background1" w:themeFillShade="BF"/>
            <w:vAlign w:val="center"/>
          </w:tcPr>
          <w:p w:rsidR="00306465" w:rsidRDefault="00306465" w:rsidP="00306465">
            <w:pPr>
              <w:jc w:val="center"/>
            </w:pPr>
            <w:r>
              <w:t>?’s</w:t>
            </w:r>
          </w:p>
        </w:tc>
      </w:tr>
      <w:tr w:rsidR="00306465" w:rsidTr="00306465">
        <w:trPr>
          <w:trHeight w:val="295"/>
        </w:trPr>
        <w:tc>
          <w:tcPr>
            <w:tcW w:w="3059" w:type="dxa"/>
            <w:vAlign w:val="center"/>
          </w:tcPr>
          <w:p w:rsidR="00306465" w:rsidRDefault="00306465" w:rsidP="00306465">
            <w:pPr>
              <w:jc w:val="center"/>
            </w:pPr>
            <w:r>
              <w:t>A</w:t>
            </w:r>
          </w:p>
        </w:tc>
        <w:tc>
          <w:tcPr>
            <w:tcW w:w="3059" w:type="dxa"/>
            <w:vAlign w:val="center"/>
          </w:tcPr>
          <w:p w:rsidR="00306465" w:rsidRDefault="00306465" w:rsidP="00306465">
            <w:pPr>
              <w:jc w:val="center"/>
            </w:pPr>
            <w:r>
              <w:t>1 &amp; 2</w:t>
            </w:r>
          </w:p>
        </w:tc>
      </w:tr>
      <w:tr w:rsidR="00306465" w:rsidTr="00306465">
        <w:trPr>
          <w:trHeight w:val="295"/>
        </w:trPr>
        <w:tc>
          <w:tcPr>
            <w:tcW w:w="3059" w:type="dxa"/>
            <w:vAlign w:val="center"/>
          </w:tcPr>
          <w:p w:rsidR="00306465" w:rsidRDefault="00306465" w:rsidP="00306465">
            <w:pPr>
              <w:jc w:val="center"/>
            </w:pPr>
            <w:r>
              <w:t>B</w:t>
            </w:r>
          </w:p>
        </w:tc>
        <w:tc>
          <w:tcPr>
            <w:tcW w:w="3059" w:type="dxa"/>
            <w:vAlign w:val="center"/>
          </w:tcPr>
          <w:p w:rsidR="00306465" w:rsidRDefault="00306465" w:rsidP="00306465">
            <w:pPr>
              <w:jc w:val="center"/>
            </w:pPr>
            <w:r>
              <w:t>3 &amp; 4</w:t>
            </w:r>
          </w:p>
        </w:tc>
      </w:tr>
      <w:tr w:rsidR="00306465" w:rsidTr="00306465">
        <w:trPr>
          <w:trHeight w:val="295"/>
        </w:trPr>
        <w:tc>
          <w:tcPr>
            <w:tcW w:w="3059" w:type="dxa"/>
            <w:vAlign w:val="center"/>
          </w:tcPr>
          <w:p w:rsidR="00306465" w:rsidRDefault="00306465" w:rsidP="00306465">
            <w:pPr>
              <w:jc w:val="center"/>
            </w:pPr>
            <w:r>
              <w:t>C</w:t>
            </w:r>
          </w:p>
        </w:tc>
        <w:tc>
          <w:tcPr>
            <w:tcW w:w="3059" w:type="dxa"/>
            <w:vAlign w:val="center"/>
          </w:tcPr>
          <w:p w:rsidR="00306465" w:rsidRDefault="00306465" w:rsidP="00306465">
            <w:pPr>
              <w:jc w:val="center"/>
            </w:pPr>
            <w:r>
              <w:t>5 &amp; 6</w:t>
            </w:r>
          </w:p>
        </w:tc>
      </w:tr>
      <w:tr w:rsidR="00306465" w:rsidTr="00306465">
        <w:trPr>
          <w:trHeight w:val="295"/>
        </w:trPr>
        <w:tc>
          <w:tcPr>
            <w:tcW w:w="3059" w:type="dxa"/>
            <w:vAlign w:val="center"/>
          </w:tcPr>
          <w:p w:rsidR="00306465" w:rsidRDefault="00306465" w:rsidP="00306465">
            <w:pPr>
              <w:jc w:val="center"/>
            </w:pPr>
            <w:r>
              <w:t>D</w:t>
            </w:r>
          </w:p>
        </w:tc>
        <w:tc>
          <w:tcPr>
            <w:tcW w:w="3059" w:type="dxa"/>
            <w:vAlign w:val="center"/>
          </w:tcPr>
          <w:p w:rsidR="00306465" w:rsidRDefault="00306465" w:rsidP="00306465">
            <w:pPr>
              <w:jc w:val="center"/>
            </w:pPr>
            <w:r>
              <w:t>7 &amp; 8</w:t>
            </w:r>
          </w:p>
        </w:tc>
      </w:tr>
    </w:tbl>
    <w:p w:rsidR="00C67172" w:rsidRDefault="00C67172" w:rsidP="00F826F1"/>
    <w:p w:rsidR="00F826F1" w:rsidRDefault="00C67172" w:rsidP="00F826F1">
      <w:r>
        <w:t xml:space="preserve">In addition to answering the </w:t>
      </w:r>
      <w:r w:rsidR="00306465">
        <w:t xml:space="preserve">two </w:t>
      </w:r>
      <w:r>
        <w:t>questions you are assigned, please choose two more</w:t>
      </w:r>
      <w:r w:rsidR="009A28AA">
        <w:t xml:space="preserve"> of the following q</w:t>
      </w:r>
      <w:r w:rsidR="00F826F1" w:rsidRPr="00F826F1">
        <w:t xml:space="preserve">uestions to </w:t>
      </w:r>
      <w:r w:rsidR="009A28AA">
        <w:t>analyze thoroughly</w:t>
      </w:r>
      <w:r w:rsidR="00937B36">
        <w:t xml:space="preserve"> before the seminar</w:t>
      </w:r>
      <w:r w:rsidR="00F826F1" w:rsidRPr="00F826F1">
        <w:t>:</w:t>
      </w:r>
    </w:p>
    <w:tbl>
      <w:tblPr>
        <w:tblStyle w:val="TableGrid"/>
        <w:tblW w:w="10530" w:type="dxa"/>
        <w:tblInd w:w="-432" w:type="dxa"/>
        <w:tblLook w:val="04A0"/>
      </w:tblPr>
      <w:tblGrid>
        <w:gridCol w:w="2880"/>
        <w:gridCol w:w="5670"/>
        <w:gridCol w:w="1980"/>
      </w:tblGrid>
      <w:tr w:rsidR="009A28AA" w:rsidRPr="00817E67" w:rsidTr="009A28AA">
        <w:trPr>
          <w:trHeight w:val="28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9A28AA" w:rsidRPr="00817E67" w:rsidRDefault="009A28AA" w:rsidP="009A2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7E67">
              <w:rPr>
                <w:rFonts w:ascii="Arial Narrow" w:hAnsi="Arial Narrow"/>
                <w:b/>
                <w:sz w:val="20"/>
                <w:szCs w:val="20"/>
              </w:rPr>
              <w:t>Question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9A28AA" w:rsidRPr="00817E67" w:rsidRDefault="009A28AA" w:rsidP="009A2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7E67">
              <w:rPr>
                <w:rFonts w:ascii="Arial Narrow" w:hAnsi="Arial Narrow"/>
                <w:b/>
                <w:sz w:val="20"/>
                <w:szCs w:val="20"/>
              </w:rPr>
              <w:t>Answers with Text Evidence &amp; Secondary Sources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9A28AA" w:rsidRPr="00817E67" w:rsidRDefault="009A28AA" w:rsidP="009A2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7E67">
              <w:rPr>
                <w:rFonts w:ascii="Arial Narrow" w:hAnsi="Arial Narrow"/>
                <w:b/>
                <w:sz w:val="20"/>
                <w:szCs w:val="20"/>
              </w:rPr>
              <w:t>Citations for Secondary Sources</w:t>
            </w:r>
          </w:p>
        </w:tc>
      </w:tr>
      <w:tr w:rsidR="009A28AA" w:rsidRPr="00817E67" w:rsidTr="009A28AA">
        <w:trPr>
          <w:trHeight w:val="280"/>
        </w:trPr>
        <w:tc>
          <w:tcPr>
            <w:tcW w:w="2880" w:type="dxa"/>
          </w:tcPr>
          <w:p w:rsidR="009A28AA" w:rsidRPr="00817E67" w:rsidRDefault="009A28AA" w:rsidP="00817E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17E67">
              <w:rPr>
                <w:rFonts w:ascii="Arial Narrow" w:hAnsi="Arial Narrow"/>
                <w:sz w:val="20"/>
                <w:szCs w:val="20"/>
              </w:rPr>
              <w:t>Does tolerance mean agreement with or a positive attitude toward those who have different backgrounds, or does it mean peacefully coexisting with people who you disagree with?</w:t>
            </w:r>
          </w:p>
          <w:p w:rsidR="009A28AA" w:rsidRPr="00817E67" w:rsidRDefault="009A28AA" w:rsidP="009A28A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8AA" w:rsidRPr="00817E67" w:rsidTr="009A28AA">
        <w:trPr>
          <w:trHeight w:val="280"/>
        </w:trPr>
        <w:tc>
          <w:tcPr>
            <w:tcW w:w="2880" w:type="dxa"/>
          </w:tcPr>
          <w:p w:rsidR="009A28AA" w:rsidRPr="00817E67" w:rsidRDefault="009A28AA" w:rsidP="00817E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17E67">
              <w:rPr>
                <w:rFonts w:ascii="Arial Narrow" w:hAnsi="Arial Narrow"/>
                <w:sz w:val="20"/>
                <w:szCs w:val="20"/>
              </w:rPr>
              <w:t>How does being tolerant reconcile with having a belief system that is important in one's life?</w:t>
            </w:r>
          </w:p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8AA" w:rsidRPr="00817E67" w:rsidTr="009A28AA">
        <w:trPr>
          <w:trHeight w:val="280"/>
        </w:trPr>
        <w:tc>
          <w:tcPr>
            <w:tcW w:w="2880" w:type="dxa"/>
          </w:tcPr>
          <w:p w:rsidR="009A28AA" w:rsidRPr="00817E67" w:rsidRDefault="009A28AA" w:rsidP="00817E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17E67">
              <w:rPr>
                <w:rFonts w:ascii="Arial Narrow" w:hAnsi="Arial Narrow"/>
                <w:sz w:val="20"/>
                <w:szCs w:val="20"/>
              </w:rPr>
              <w:lastRenderedPageBreak/>
              <w:t>How does Geisel address the issue of tolerance in “The Sneetches”?</w:t>
            </w:r>
          </w:p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8AA" w:rsidRPr="00817E67" w:rsidTr="009A28AA">
        <w:trPr>
          <w:trHeight w:val="280"/>
        </w:trPr>
        <w:tc>
          <w:tcPr>
            <w:tcW w:w="2880" w:type="dxa"/>
          </w:tcPr>
          <w:p w:rsidR="009A28AA" w:rsidRPr="00817E67" w:rsidRDefault="009A28AA" w:rsidP="00817E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17E67">
              <w:rPr>
                <w:rFonts w:ascii="Arial Narrow" w:hAnsi="Arial Narrow"/>
                <w:sz w:val="20"/>
                <w:szCs w:val="20"/>
              </w:rPr>
              <w:t>Compare the story’s theme with historical events – both past and present.</w:t>
            </w:r>
          </w:p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E67" w:rsidRPr="00817E67" w:rsidTr="009A28AA">
        <w:trPr>
          <w:trHeight w:val="280"/>
        </w:trPr>
        <w:tc>
          <w:tcPr>
            <w:tcW w:w="2880" w:type="dxa"/>
          </w:tcPr>
          <w:p w:rsidR="00817E67" w:rsidRPr="00817E67" w:rsidRDefault="00817E67" w:rsidP="00817E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Besides tolerance, what other message does Geisel convey about human behavior in “The Sneetches”?</w:t>
            </w:r>
          </w:p>
        </w:tc>
        <w:tc>
          <w:tcPr>
            <w:tcW w:w="5670" w:type="dxa"/>
          </w:tcPr>
          <w:p w:rsidR="00817E67" w:rsidRPr="00817E67" w:rsidRDefault="00817E67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7E67" w:rsidRPr="00817E67" w:rsidRDefault="00817E67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E67" w:rsidRPr="00817E67" w:rsidTr="009A28AA">
        <w:trPr>
          <w:trHeight w:val="280"/>
        </w:trPr>
        <w:tc>
          <w:tcPr>
            <w:tcW w:w="2880" w:type="dxa"/>
          </w:tcPr>
          <w:p w:rsidR="00817E67" w:rsidRPr="00817E67" w:rsidRDefault="00817E67" w:rsidP="00817E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17E67">
              <w:rPr>
                <w:rFonts w:ascii="Arial Narrow" w:hAnsi="Arial Narrow"/>
                <w:sz w:val="20"/>
                <w:szCs w:val="20"/>
              </w:rPr>
              <w:t xml:space="preserve">Compare and contrast the </w:t>
            </w:r>
            <w:r>
              <w:rPr>
                <w:rFonts w:ascii="Arial Narrow" w:hAnsi="Arial Narrow"/>
                <w:sz w:val="20"/>
                <w:szCs w:val="20"/>
              </w:rPr>
              <w:t>message about human behavior in “The Sneetches” with “The Lottery”?</w:t>
            </w:r>
          </w:p>
        </w:tc>
        <w:tc>
          <w:tcPr>
            <w:tcW w:w="5670" w:type="dxa"/>
          </w:tcPr>
          <w:p w:rsidR="00817E67" w:rsidRPr="00817E67" w:rsidRDefault="00817E67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7E67" w:rsidRPr="00817E67" w:rsidRDefault="00817E67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8AA" w:rsidRPr="00817E67" w:rsidTr="009A28AA">
        <w:trPr>
          <w:trHeight w:val="280"/>
        </w:trPr>
        <w:tc>
          <w:tcPr>
            <w:tcW w:w="2880" w:type="dxa"/>
          </w:tcPr>
          <w:p w:rsidR="009A28AA" w:rsidRPr="00817E67" w:rsidRDefault="009A28AA" w:rsidP="00817E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17E67">
              <w:rPr>
                <w:rFonts w:ascii="Arial Narrow" w:hAnsi="Arial Narrow"/>
                <w:sz w:val="20"/>
                <w:szCs w:val="20"/>
              </w:rPr>
              <w:t>Think about</w:t>
            </w:r>
            <w:r w:rsidR="00817E67">
              <w:rPr>
                <w:rFonts w:ascii="Arial Narrow" w:hAnsi="Arial Narrow"/>
                <w:sz w:val="20"/>
                <w:szCs w:val="20"/>
              </w:rPr>
              <w:t xml:space="preserve"> the ending. Why do you think Geisel</w:t>
            </w:r>
            <w:r w:rsidRPr="00817E67">
              <w:rPr>
                <w:rFonts w:ascii="Arial Narrow" w:hAnsi="Arial Narrow"/>
                <w:sz w:val="20"/>
                <w:szCs w:val="20"/>
              </w:rPr>
              <w:t xml:space="preserve"> chose to end it the way he did? What message do you think he was he trying to convey through the ending? Was it effective? Why or why not?</w:t>
            </w:r>
          </w:p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8AA" w:rsidRPr="00817E67" w:rsidTr="009A28AA">
        <w:trPr>
          <w:trHeight w:val="280"/>
        </w:trPr>
        <w:tc>
          <w:tcPr>
            <w:tcW w:w="2880" w:type="dxa"/>
          </w:tcPr>
          <w:p w:rsidR="009A28AA" w:rsidRPr="00817E67" w:rsidRDefault="009A28AA" w:rsidP="00817E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17E67">
              <w:rPr>
                <w:rFonts w:ascii="Arial Narrow" w:hAnsi="Arial Narrow"/>
                <w:sz w:val="20"/>
                <w:szCs w:val="20"/>
              </w:rPr>
              <w:t>Why do you think Geisel chose the genre/audience that he did? Do you think this was effective? Why or why not?</w:t>
            </w:r>
            <w:r w:rsidR="00436495">
              <w:rPr>
                <w:rFonts w:ascii="Arial Narrow" w:hAnsi="Arial Narrow"/>
                <w:sz w:val="20"/>
                <w:szCs w:val="20"/>
              </w:rPr>
              <w:t xml:space="preserve"> Compare Geisel’s choice with Jackson’s.</w:t>
            </w:r>
          </w:p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9A28AA" w:rsidRPr="00817E67" w:rsidRDefault="009A28AA" w:rsidP="00F826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A28AA" w:rsidRPr="00F826F1" w:rsidRDefault="009A28AA" w:rsidP="00F826F1"/>
    <w:p w:rsidR="001008A9" w:rsidRDefault="00CB3170" w:rsidP="00CB3170">
      <w:r>
        <w:t>As you prepare your three questions for the Socratic Seminar, consider using these question stems to help you develop critical thinking questions instead of just comprehension questions:</w:t>
      </w:r>
    </w:p>
    <w:p w:rsidR="00E20554" w:rsidRDefault="00D92709" w:rsidP="001008A9">
      <w:hyperlink r:id="rId5" w:history="1">
        <w:r w:rsidR="00E20554" w:rsidRPr="00E20554">
          <w:rPr>
            <w:rStyle w:val="Hyperlink"/>
          </w:rPr>
          <w:t>Socratic Seminar Quest</w:t>
        </w:r>
        <w:r w:rsidR="00E20554" w:rsidRPr="00E20554">
          <w:rPr>
            <w:rStyle w:val="Hyperlink"/>
          </w:rPr>
          <w:t>i</w:t>
        </w:r>
        <w:r w:rsidR="00E20554" w:rsidRPr="00E20554">
          <w:rPr>
            <w:rStyle w:val="Hyperlink"/>
          </w:rPr>
          <w:t>on Stems</w:t>
        </w:r>
      </w:hyperlink>
    </w:p>
    <w:tbl>
      <w:tblPr>
        <w:tblStyle w:val="TableGrid"/>
        <w:tblW w:w="10530" w:type="dxa"/>
        <w:tblInd w:w="-432" w:type="dxa"/>
        <w:tblLook w:val="04A0"/>
      </w:tblPr>
      <w:tblGrid>
        <w:gridCol w:w="2880"/>
        <w:gridCol w:w="5670"/>
        <w:gridCol w:w="1980"/>
      </w:tblGrid>
      <w:tr w:rsidR="00CB3170" w:rsidRPr="00817E67" w:rsidTr="00882BFA">
        <w:trPr>
          <w:trHeight w:val="28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B3170" w:rsidRPr="00817E67" w:rsidRDefault="00CB3170" w:rsidP="00882B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7E67">
              <w:rPr>
                <w:rFonts w:ascii="Arial Narrow" w:hAnsi="Arial Narrow"/>
                <w:b/>
                <w:sz w:val="20"/>
                <w:szCs w:val="20"/>
              </w:rPr>
              <w:t>Question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CB3170" w:rsidRPr="00817E67" w:rsidRDefault="00CB3170" w:rsidP="00882B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7E67">
              <w:rPr>
                <w:rFonts w:ascii="Arial Narrow" w:hAnsi="Arial Narrow"/>
                <w:b/>
                <w:sz w:val="20"/>
                <w:szCs w:val="20"/>
              </w:rPr>
              <w:t>Answers with Text Evidence &amp; Secondary Sources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CB3170" w:rsidRPr="00817E67" w:rsidRDefault="00CB3170" w:rsidP="00882B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7E67">
              <w:rPr>
                <w:rFonts w:ascii="Arial Narrow" w:hAnsi="Arial Narrow"/>
                <w:b/>
                <w:sz w:val="20"/>
                <w:szCs w:val="20"/>
              </w:rPr>
              <w:t>Citations for Secondary Sources</w:t>
            </w:r>
          </w:p>
        </w:tc>
      </w:tr>
      <w:tr w:rsidR="00CB3170" w:rsidRPr="00817E67" w:rsidTr="00882BFA">
        <w:trPr>
          <w:trHeight w:val="280"/>
        </w:trPr>
        <w:tc>
          <w:tcPr>
            <w:tcW w:w="2880" w:type="dxa"/>
          </w:tcPr>
          <w:p w:rsidR="00CB3170" w:rsidRPr="00CB3170" w:rsidRDefault="00CB3170" w:rsidP="00CB317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CB3170" w:rsidRPr="00817E67" w:rsidRDefault="00CB3170" w:rsidP="00882B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3170" w:rsidRPr="00817E67" w:rsidRDefault="00CB3170" w:rsidP="00882B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3170" w:rsidRPr="00817E67" w:rsidTr="00882BFA">
        <w:trPr>
          <w:trHeight w:val="280"/>
        </w:trPr>
        <w:tc>
          <w:tcPr>
            <w:tcW w:w="2880" w:type="dxa"/>
          </w:tcPr>
          <w:p w:rsidR="00CB3170" w:rsidRPr="00CB3170" w:rsidRDefault="00CB3170" w:rsidP="00CB317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CB3170" w:rsidRPr="00817E67" w:rsidRDefault="00CB3170" w:rsidP="00882B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3170" w:rsidRPr="00817E67" w:rsidRDefault="00CB3170" w:rsidP="00882B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3170" w:rsidRPr="00817E67" w:rsidTr="00882BFA">
        <w:trPr>
          <w:trHeight w:val="280"/>
        </w:trPr>
        <w:tc>
          <w:tcPr>
            <w:tcW w:w="2880" w:type="dxa"/>
          </w:tcPr>
          <w:p w:rsidR="00CB3170" w:rsidRPr="00CB3170" w:rsidRDefault="00CB3170" w:rsidP="00CB317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CB3170" w:rsidRPr="00817E67" w:rsidRDefault="00CB3170" w:rsidP="00882B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3170" w:rsidRPr="00817E67" w:rsidRDefault="00CB3170" w:rsidP="00882B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7E67" w:rsidRDefault="00817E67" w:rsidP="00937B36"/>
    <w:p w:rsidR="001008A9" w:rsidRDefault="001008A9" w:rsidP="00817E67">
      <w:pPr>
        <w:ind w:left="720"/>
      </w:pPr>
    </w:p>
    <w:p w:rsidR="00133036" w:rsidRDefault="00133036"/>
    <w:sectPr w:rsidR="00133036" w:rsidSect="00B9065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0F"/>
    <w:multiLevelType w:val="hybridMultilevel"/>
    <w:tmpl w:val="26363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F9D"/>
    <w:multiLevelType w:val="hybridMultilevel"/>
    <w:tmpl w:val="B25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1DCE"/>
    <w:multiLevelType w:val="multilevel"/>
    <w:tmpl w:val="34E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77E6A"/>
    <w:multiLevelType w:val="hybridMultilevel"/>
    <w:tmpl w:val="A4D8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3D55"/>
    <w:multiLevelType w:val="hybridMultilevel"/>
    <w:tmpl w:val="2008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6F56"/>
    <w:multiLevelType w:val="hybridMultilevel"/>
    <w:tmpl w:val="2008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E70B5"/>
    <w:multiLevelType w:val="hybridMultilevel"/>
    <w:tmpl w:val="4A86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>
    <w:useFELayout/>
  </w:compat>
  <w:rsids>
    <w:rsidRoot w:val="00F826F1"/>
    <w:rsid w:val="00003D3F"/>
    <w:rsid w:val="00063A40"/>
    <w:rsid w:val="000C4CCC"/>
    <w:rsid w:val="001008A9"/>
    <w:rsid w:val="00133036"/>
    <w:rsid w:val="00306465"/>
    <w:rsid w:val="00395CE1"/>
    <w:rsid w:val="00436495"/>
    <w:rsid w:val="00650C03"/>
    <w:rsid w:val="00817E67"/>
    <w:rsid w:val="00937B36"/>
    <w:rsid w:val="009A28AA"/>
    <w:rsid w:val="009B3FC4"/>
    <w:rsid w:val="009D69F9"/>
    <w:rsid w:val="00A53DCC"/>
    <w:rsid w:val="00A91591"/>
    <w:rsid w:val="00AE52B7"/>
    <w:rsid w:val="00B9065F"/>
    <w:rsid w:val="00C636A8"/>
    <w:rsid w:val="00C67172"/>
    <w:rsid w:val="00CB3170"/>
    <w:rsid w:val="00D92709"/>
    <w:rsid w:val="00DF5354"/>
    <w:rsid w:val="00E20554"/>
    <w:rsid w:val="00F46FB2"/>
    <w:rsid w:val="00F5486A"/>
    <w:rsid w:val="00F8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5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8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1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5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tbowman\Dropbox\2%20Writing%20I\Socratic%20Seminar\socratic_seminar_question_ste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2</cp:revision>
  <dcterms:created xsi:type="dcterms:W3CDTF">2014-04-30T12:12:00Z</dcterms:created>
  <dcterms:modified xsi:type="dcterms:W3CDTF">2014-04-30T12:12:00Z</dcterms:modified>
</cp:coreProperties>
</file>